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33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FORM 8-K</w:t>
      </w:r>
    </w:p>
    <w:p>
      <w:pPr>
        <w:spacing w:after="0" w:line="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16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Pursuant to Section 13 or 15(d) of the Securities Exchange Act of 1934</w:t>
      </w:r>
    </w:p>
    <w:p>
      <w:pPr>
        <w:spacing w:after="0" w:line="17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June 12, 2026</w:t>
      </w:r>
    </w:p>
    <w:p>
      <w:pPr>
        <w:spacing w:after="0" w:line="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Date of Report (date of Earliest Event Reported)</w:t>
      </w:r>
    </w:p>
    <w:p>
      <w:pPr>
        <w:spacing w:after="0" w:line="16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NEWTEKONE, INC.</w:t>
      </w:r>
    </w:p>
    <w:p>
      <w:pPr>
        <w:spacing w:after="0" w:line="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(Exact Name of Company as Specified in its Charter)</w:t>
      </w:r>
    </w:p>
    <w:p>
      <w:pPr>
        <w:spacing w:after="0" w:line="11" w:lineRule="exact"/>
        <w:rPr>
          <w:sz w:val="24"/>
          <w:szCs w:val="24"/>
          <w:color w:val="auto"/>
        </w:rPr>
      </w:pPr>
    </w:p>
    <w:tbl>
      <w:tblPr>
        <w:tblLayout w:type="fixed"/>
        <w:tblInd w:w="600" w:type="dxa"/>
        <w:tblCellMar>
          <w:top w:w="0" w:type="dxa"/>
          <w:left w:w="0" w:type="dxa"/>
          <w:bottom w:w="0" w:type="dxa"/>
          <w:right w:w="0" w:type="dxa"/>
        </w:tblCellMar>
      </w:tblPr>
      <w:tr>
        <w:trPr>
          <w:trHeight w:val="186"/>
        </w:trPr>
        <w:tc>
          <w:tcPr>
            <w:tcW w:w="3780" w:type="dxa"/>
            <w:vAlign w:val="bottom"/>
          </w:tcPr>
          <w:p>
            <w:pPr>
              <w:jc w:val="center"/>
              <w:ind w:right="593"/>
              <w:spacing w:after="0"/>
              <w:rPr>
                <w:sz w:val="20"/>
                <w:szCs w:val="20"/>
                <w:color w:val="auto"/>
              </w:rPr>
            </w:pPr>
            <w:r>
              <w:rPr>
                <w:rFonts w:ascii="Times New Roman" w:cs="Times New Roman" w:eastAsia="Times New Roman" w:hAnsi="Times New Roman"/>
                <w:sz w:val="14"/>
                <w:szCs w:val="14"/>
                <w:b w:val="1"/>
                <w:bCs w:val="1"/>
                <w:color w:val="auto"/>
              </w:rPr>
              <w:t>Maryland</w:t>
            </w:r>
          </w:p>
        </w:tc>
        <w:tc>
          <w:tcPr>
            <w:tcW w:w="2840" w:type="dxa"/>
            <w:vAlign w:val="bottom"/>
            <w:vMerge w:val="restart"/>
          </w:tcPr>
          <w:p>
            <w:pPr>
              <w:jc w:val="right"/>
              <w:ind w:right="1193"/>
              <w:spacing w:after="0"/>
              <w:rPr>
                <w:sz w:val="20"/>
                <w:szCs w:val="20"/>
                <w:color w:val="auto"/>
              </w:rPr>
            </w:pPr>
            <w:r>
              <w:rPr>
                <w:rFonts w:ascii="Times New Roman" w:cs="Times New Roman" w:eastAsia="Times New Roman" w:hAnsi="Times New Roman"/>
                <w:sz w:val="14"/>
                <w:szCs w:val="14"/>
                <w:b w:val="1"/>
                <w:bCs w:val="1"/>
                <w:color w:val="auto"/>
              </w:rPr>
              <w:t>814-01035</w:t>
            </w:r>
          </w:p>
        </w:tc>
        <w:tc>
          <w:tcPr>
            <w:tcW w:w="28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46-3755188</w:t>
            </w:r>
          </w:p>
        </w:tc>
        <w:tc>
          <w:tcPr>
            <w:tcW w:w="0" w:type="dxa"/>
            <w:vAlign w:val="bottom"/>
          </w:tcPr>
          <w:p>
            <w:pPr>
              <w:spacing w:after="0"/>
              <w:rPr>
                <w:sz w:val="1"/>
                <w:szCs w:val="1"/>
                <w:color w:val="auto"/>
              </w:rPr>
            </w:pPr>
          </w:p>
        </w:tc>
      </w:tr>
      <w:tr>
        <w:trPr>
          <w:trHeight w:val="170"/>
        </w:trPr>
        <w:tc>
          <w:tcPr>
            <w:tcW w:w="3780" w:type="dxa"/>
            <w:vAlign w:val="bottom"/>
          </w:tcPr>
          <w:p>
            <w:pPr>
              <w:spacing w:after="0"/>
              <w:rPr>
                <w:sz w:val="14"/>
                <w:szCs w:val="14"/>
                <w:color w:val="auto"/>
              </w:rPr>
            </w:pPr>
          </w:p>
        </w:tc>
        <w:tc>
          <w:tcPr>
            <w:tcW w:w="2840" w:type="dxa"/>
            <w:vAlign w:val="bottom"/>
            <w:vMerge w:val="continue"/>
          </w:tcPr>
          <w:p>
            <w:pPr>
              <w:spacing w:after="0"/>
              <w:rPr>
                <w:sz w:val="14"/>
                <w:szCs w:val="14"/>
                <w:color w:val="auto"/>
              </w:rPr>
            </w:pPr>
          </w:p>
        </w:tc>
        <w:tc>
          <w:tcPr>
            <w:tcW w:w="2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780" w:type="dxa"/>
            <w:vAlign w:val="bottom"/>
          </w:tcPr>
          <w:p>
            <w:pPr>
              <w:jc w:val="center"/>
              <w:ind w:right="593"/>
              <w:spacing w:after="0"/>
              <w:rPr>
                <w:sz w:val="20"/>
                <w:szCs w:val="20"/>
                <w:color w:val="auto"/>
              </w:rPr>
            </w:pPr>
            <w:r>
              <w:rPr>
                <w:rFonts w:ascii="Times New Roman" w:cs="Times New Roman" w:eastAsia="Times New Roman" w:hAnsi="Times New Roman"/>
                <w:sz w:val="13"/>
                <w:szCs w:val="13"/>
                <w:color w:val="auto"/>
                <w:w w:val="97"/>
              </w:rPr>
              <w:t>(State or Other Jurisdiction of Incorporation or Organization)</w:t>
            </w:r>
          </w:p>
        </w:tc>
        <w:tc>
          <w:tcPr>
            <w:tcW w:w="2840" w:type="dxa"/>
            <w:vAlign w:val="bottom"/>
          </w:tcPr>
          <w:p>
            <w:pPr>
              <w:jc w:val="center"/>
              <w:ind w:right="233"/>
              <w:spacing w:after="0"/>
              <w:rPr>
                <w:sz w:val="20"/>
                <w:szCs w:val="20"/>
                <w:color w:val="auto"/>
              </w:rPr>
            </w:pPr>
            <w:r>
              <w:rPr>
                <w:rFonts w:ascii="Times New Roman" w:cs="Times New Roman" w:eastAsia="Times New Roman" w:hAnsi="Times New Roman"/>
                <w:sz w:val="13"/>
                <w:szCs w:val="13"/>
                <w:color w:val="auto"/>
                <w:w w:val="98"/>
              </w:rPr>
              <w:t>(Commission File No.)</w:t>
            </w:r>
          </w:p>
        </w:tc>
        <w:tc>
          <w:tcPr>
            <w:tcW w:w="2840" w:type="dxa"/>
            <w:vAlign w:val="bottom"/>
          </w:tcPr>
          <w:p>
            <w:pPr>
              <w:jc w:val="center"/>
              <w:ind w:left="933"/>
              <w:spacing w:after="0"/>
              <w:rPr>
                <w:sz w:val="20"/>
                <w:szCs w:val="20"/>
                <w:color w:val="auto"/>
              </w:rPr>
            </w:pPr>
            <w:r>
              <w:rPr>
                <w:rFonts w:ascii="Times New Roman" w:cs="Times New Roman" w:eastAsia="Times New Roman" w:hAnsi="Times New Roman"/>
                <w:sz w:val="13"/>
                <w:szCs w:val="13"/>
                <w:color w:val="auto"/>
                <w:w w:val="97"/>
              </w:rPr>
              <w:t>(I.R.S. Employer Identification No.)</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4800 T Rex Avenue, Suite 120, Boca Raton, Florida 33431</w:t>
      </w:r>
    </w:p>
    <w:p>
      <w:pPr>
        <w:spacing w:after="0" w:line="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(Address of principal executive offices and zip code)</w:t>
      </w:r>
    </w:p>
    <w:p>
      <w:pPr>
        <w:spacing w:after="0" w:line="27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(212) 356-9500</w:t>
      </w:r>
    </w:p>
    <w:p>
      <w:pPr>
        <w:spacing w:after="0" w:line="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(Company’s telephone number, including area code)</w:t>
      </w:r>
    </w:p>
    <w:p>
      <w:pPr>
        <w:spacing w:after="0" w:line="3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(Former name or former address, if changed from last report)</w:t>
      </w:r>
    </w:p>
    <w:p>
      <w:pPr>
        <w:spacing w:after="0" w:line="366"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4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0" w:type="dxa"/>
            <w:vAlign w:val="bottom"/>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42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67"/>
        </w:trPr>
        <w:tc>
          <w:tcPr>
            <w:tcW w:w="20" w:type="dxa"/>
            <w:vAlign w:val="bottom"/>
          </w:tcPr>
          <w:p>
            <w:pPr>
              <w:spacing w:after="0"/>
              <w:rPr>
                <w:sz w:val="14"/>
                <w:szCs w:val="14"/>
                <w:color w:val="auto"/>
              </w:rPr>
            </w:pPr>
          </w:p>
        </w:tc>
        <w:tc>
          <w:tcPr>
            <w:tcW w:w="4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Common Stock, par value $0.02 per share</w:t>
            </w:r>
          </w:p>
        </w:tc>
        <w:tc>
          <w:tcPr>
            <w:tcW w:w="80" w:type="dxa"/>
            <w:vAlign w:val="bottom"/>
          </w:tcPr>
          <w:p>
            <w:pPr>
              <w:spacing w:after="0"/>
              <w:rPr>
                <w:sz w:val="14"/>
                <w:szCs w:val="14"/>
                <w:color w:val="auto"/>
              </w:rPr>
            </w:pPr>
          </w:p>
        </w:tc>
        <w:tc>
          <w:tcPr>
            <w:tcW w:w="2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NEWT</w:t>
            </w:r>
          </w:p>
        </w:tc>
        <w:tc>
          <w:tcPr>
            <w:tcW w:w="80" w:type="dxa"/>
            <w:vAlign w:val="bottom"/>
          </w:tcPr>
          <w:p>
            <w:pPr>
              <w:spacing w:after="0"/>
              <w:rPr>
                <w:sz w:val="14"/>
                <w:szCs w:val="14"/>
                <w:color w:val="auto"/>
              </w:rPr>
            </w:pPr>
          </w:p>
        </w:tc>
        <w:tc>
          <w:tcPr>
            <w:tcW w:w="4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Nasdaq Global Market LLC</w:t>
            </w:r>
          </w:p>
        </w:tc>
      </w:tr>
      <w:tr>
        <w:trPr>
          <w:trHeight w:val="180"/>
        </w:trPr>
        <w:tc>
          <w:tcPr>
            <w:tcW w:w="20" w:type="dxa"/>
            <w:vAlign w:val="bottom"/>
          </w:tcPr>
          <w:p>
            <w:pPr>
              <w:spacing w:after="0"/>
              <w:rPr>
                <w:sz w:val="15"/>
                <w:szCs w:val="15"/>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8.00% Notes due 2028</w:t>
            </w:r>
          </w:p>
        </w:tc>
        <w:tc>
          <w:tcPr>
            <w:tcW w:w="2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NEWTI</w:t>
            </w:r>
          </w:p>
        </w:tc>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Market LLC</w:t>
            </w:r>
          </w:p>
        </w:tc>
      </w:tr>
      <w:tr>
        <w:trPr>
          <w:trHeight w:val="180"/>
        </w:trPr>
        <w:tc>
          <w:tcPr>
            <w:tcW w:w="20" w:type="dxa"/>
            <w:vAlign w:val="bottom"/>
          </w:tcPr>
          <w:p>
            <w:pPr>
              <w:spacing w:after="0"/>
              <w:rPr>
                <w:sz w:val="15"/>
                <w:szCs w:val="15"/>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8.50% Notes due 2029</w:t>
            </w:r>
          </w:p>
        </w:tc>
        <w:tc>
          <w:tcPr>
            <w:tcW w:w="2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NEWTG</w:t>
            </w:r>
          </w:p>
        </w:tc>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Market LLC</w:t>
            </w:r>
          </w:p>
        </w:tc>
      </w:tr>
      <w:tr>
        <w:trPr>
          <w:trHeight w:val="180"/>
        </w:trPr>
        <w:tc>
          <w:tcPr>
            <w:tcW w:w="20" w:type="dxa"/>
            <w:vAlign w:val="bottom"/>
          </w:tcPr>
          <w:p>
            <w:pPr>
              <w:spacing w:after="0"/>
              <w:rPr>
                <w:sz w:val="15"/>
                <w:szCs w:val="15"/>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8.625% Notes due 2029</w:t>
            </w:r>
          </w:p>
        </w:tc>
        <w:tc>
          <w:tcPr>
            <w:tcW w:w="2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NEWTH</w:t>
            </w:r>
          </w:p>
        </w:tc>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Market LLC</w:t>
            </w:r>
          </w:p>
        </w:tc>
      </w:tr>
      <w:tr>
        <w:trPr>
          <w:trHeight w:val="180"/>
        </w:trPr>
        <w:tc>
          <w:tcPr>
            <w:tcW w:w="20" w:type="dxa"/>
            <w:vAlign w:val="bottom"/>
          </w:tcPr>
          <w:p>
            <w:pPr>
              <w:spacing w:after="0"/>
              <w:rPr>
                <w:sz w:val="15"/>
                <w:szCs w:val="15"/>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8.50% Notes due 2031</w:t>
            </w:r>
          </w:p>
        </w:tc>
        <w:tc>
          <w:tcPr>
            <w:tcW w:w="2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NEWTO</w:t>
            </w:r>
          </w:p>
        </w:tc>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Market LLC</w:t>
            </w:r>
          </w:p>
        </w:tc>
      </w:tr>
      <w:tr>
        <w:trPr>
          <w:trHeight w:val="142"/>
        </w:trPr>
        <w:tc>
          <w:tcPr>
            <w:tcW w:w="20" w:type="dxa"/>
            <w:vAlign w:val="bottom"/>
          </w:tcPr>
          <w:p>
            <w:pPr>
              <w:spacing w:after="0"/>
              <w:rPr>
                <w:sz w:val="12"/>
                <w:szCs w:val="12"/>
                <w:color w:val="auto"/>
              </w:rPr>
            </w:pPr>
          </w:p>
        </w:tc>
        <w:tc>
          <w:tcPr>
            <w:tcW w:w="42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Depositary Shares, each representing a 1/40th interest in a share of</w:t>
            </w:r>
          </w:p>
        </w:tc>
        <w:tc>
          <w:tcPr>
            <w:tcW w:w="240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color w:val="auto"/>
                <w:w w:val="99"/>
              </w:rPr>
              <w:t>NEWTP</w:t>
            </w:r>
          </w:p>
        </w:tc>
        <w:tc>
          <w:tcPr>
            <w:tcW w:w="46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Nasdaq Global Market LLC</w:t>
            </w:r>
          </w:p>
        </w:tc>
      </w:tr>
      <w:tr>
        <w:trPr>
          <w:trHeight w:val="138"/>
        </w:trPr>
        <w:tc>
          <w:tcPr>
            <w:tcW w:w="20" w:type="dxa"/>
            <w:vAlign w:val="bottom"/>
          </w:tcPr>
          <w:p>
            <w:pPr>
              <w:spacing w:after="0"/>
              <w:rPr>
                <w:sz w:val="11"/>
                <w:szCs w:val="11"/>
                <w:color w:val="auto"/>
              </w:rPr>
            </w:pPr>
          </w:p>
        </w:tc>
        <w:tc>
          <w:tcPr>
            <w:tcW w:w="4220" w:type="dxa"/>
            <w:vAlign w:val="bottom"/>
            <w:gridSpan w:val="2"/>
          </w:tcPr>
          <w:p>
            <w:pPr>
              <w:spacing w:after="0" w:line="138" w:lineRule="exact"/>
              <w:rPr>
                <w:sz w:val="20"/>
                <w:szCs w:val="20"/>
                <w:color w:val="auto"/>
              </w:rPr>
            </w:pPr>
            <w:r>
              <w:rPr>
                <w:rFonts w:ascii="Times New Roman" w:cs="Times New Roman" w:eastAsia="Times New Roman" w:hAnsi="Times New Roman"/>
                <w:sz w:val="14"/>
                <w:szCs w:val="14"/>
                <w:color w:val="auto"/>
              </w:rPr>
              <w:t>8.500% Fixed-Rate Reset Non-Cumulative Perpetual Preferred Stock,</w:t>
            </w:r>
          </w:p>
        </w:tc>
        <w:tc>
          <w:tcPr>
            <w:tcW w:w="2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0" w:type="dxa"/>
            <w:vAlign w:val="bottom"/>
          </w:tcPr>
          <w:p>
            <w:pPr>
              <w:spacing w:after="0"/>
              <w:rPr>
                <w:sz w:val="11"/>
                <w:szCs w:val="11"/>
                <w:color w:val="auto"/>
              </w:rPr>
            </w:pPr>
          </w:p>
        </w:tc>
      </w:tr>
      <w:tr>
        <w:trPr>
          <w:trHeight w:val="184"/>
        </w:trPr>
        <w:tc>
          <w:tcPr>
            <w:tcW w:w="20" w:type="dxa"/>
            <w:vAlign w:val="bottom"/>
          </w:tcPr>
          <w:p>
            <w:pPr>
              <w:spacing w:after="0"/>
              <w:rPr>
                <w:sz w:val="16"/>
                <w:szCs w:val="16"/>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Series B</w:t>
            </w:r>
          </w:p>
        </w:tc>
        <w:tc>
          <w:tcPr>
            <w:tcW w:w="2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0" w:type="dxa"/>
            <w:vAlign w:val="bottom"/>
          </w:tcPr>
          <w:p>
            <w:pPr>
              <w:spacing w:after="0"/>
              <w:rPr>
                <w:sz w:val="16"/>
                <w:szCs w:val="16"/>
                <w:color w:val="auto"/>
              </w:rPr>
            </w:pPr>
          </w:p>
        </w:tc>
      </w:tr>
    </w:tbl>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 (see General Instruction A.2.</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below):</w:t>
      </w:r>
    </w:p>
    <w:p>
      <w:pPr>
        <w:spacing w:after="0" w:line="164" w:lineRule="exact"/>
        <w:rPr>
          <w:sz w:val="24"/>
          <w:szCs w:val="2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24" w:lineRule="exact"/>
        <w:rPr>
          <w:rFonts w:ascii="MS PGothic" w:cs="MS PGothic" w:eastAsia="MS PGothic" w:hAnsi="MS PGothic"/>
          <w:sz w:val="14"/>
          <w:szCs w:val="1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8" w:lineRule="exact"/>
        <w:rPr>
          <w:rFonts w:ascii="MS PGothic" w:cs="MS PGothic" w:eastAsia="MS PGothic" w:hAnsi="MS PGothic"/>
          <w:sz w:val="14"/>
          <w:szCs w:val="1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8" w:lineRule="exact"/>
        <w:rPr>
          <w:rFonts w:ascii="MS PGothic" w:cs="MS PGothic" w:eastAsia="MS PGothic" w:hAnsi="MS PGothic"/>
          <w:sz w:val="14"/>
          <w:szCs w:val="1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184" w:lineRule="exact"/>
        <w:rPr>
          <w:sz w:val="24"/>
          <w:szCs w:val="24"/>
          <w:color w:val="auto"/>
        </w:rPr>
      </w:pPr>
    </w:p>
    <w:p>
      <w:pPr>
        <w:ind w:right="540"/>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405765</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109" w:right="359" w:bottom="1440" w:gutter="0" w:footer="0" w:header="0"/>
        </w:sectPr>
      </w:pPr>
    </w:p>
    <w:bookmarkStart w:id="1" w:name="page2"/>
    <w:bookmarkEnd w:id="1"/>
    <w:p>
      <w:pPr>
        <w:spacing w:after="0"/>
        <w:tabs>
          <w:tab w:leader="none" w:pos="1700" w:val="left"/>
        </w:tabs>
        <w:rPr>
          <w:sz w:val="20"/>
          <w:szCs w:val="20"/>
          <w:color w:val="auto"/>
        </w:rPr>
      </w:pPr>
      <w:r>
        <w:rPr>
          <w:rFonts w:ascii="Times New Roman" w:cs="Times New Roman" w:eastAsia="Times New Roman" w:hAnsi="Times New Roman"/>
          <w:sz w:val="14"/>
          <w:szCs w:val="14"/>
          <w:color w:val="auto"/>
        </w:rPr>
        <w:t>Emerging growth company</w:t>
      </w:r>
      <w:r>
        <w:rPr>
          <w:sz w:val="20"/>
          <w:szCs w:val="20"/>
          <w:color w:val="auto"/>
        </w:rPr>
        <w:tab/>
      </w:r>
      <w:r>
        <w:rPr>
          <w:rFonts w:ascii="Wingdings" w:cs="Wingdings" w:eastAsia="Wingdings" w:hAnsi="Wingdings"/>
          <w:sz w:val="14"/>
          <w:szCs w:val="14"/>
          <w:b w:val="1"/>
          <w:bCs w:val="1"/>
          <w:color w:val="auto"/>
        </w:rPr>
        <w:t>o</w:t>
      </w:r>
    </w:p>
    <w:p>
      <w:pPr>
        <w:spacing w:after="0" w:line="20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405765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60"/>
          </w:cols>
          <w:pgMar w:left="300" w:top="920" w:right="5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9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Statements in NewtekOne, Inc.’s (“NewtekOne” or the “Company”) Current Report on Form 8-K and the Exhibit thereto contain forward-looking statements within the meaning of the Private Securities Litigation Reform Act of 1995. These statements are based on management’s current expectations and beliefs and are subject to significant risks and uncertainties. Actual results may differ materially from those set forth in the forward-looking statements. See “Note Regarding Forward-Looking Statements” and the sections entitled “Risk Factors” in the Company's filings with the Securities and Exchange Commission which are available on NewtekOne's website (https://investor.newtekbusinessservices.com/sec-filings) and on the Securities and Exchange Commission’s website (www.sec.gov). Any forward-looking statements made by or on behalf of NewtekOne speak only as to the date they are made, and NewtekOne does not undertake to update forward-looking statements to reflect the impact of circumstances or events that arise after the date the forward-looking statements were made.</w:t>
      </w:r>
    </w:p>
    <w:p>
      <w:pPr>
        <w:spacing w:after="0" w:line="15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b w:val="1"/>
          <w:bCs w:val="1"/>
          <w:color w:val="auto"/>
        </w:rPr>
        <w:t>Item 2.02.</w:t>
        <w:tab/>
        <w:t>Results of Operations and Financial Condition.</w:t>
      </w:r>
    </w:p>
    <w:p>
      <w:pPr>
        <w:spacing w:after="0" w:line="85"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4"/>
          <w:szCs w:val="14"/>
          <w:color w:val="auto"/>
        </w:rPr>
        <w:t>On June 12, 2026, the Company issued a press release entitled “NewtekOne, Inc. Declares Dividends on Common Stock and Series B Preferred Shares” (the “Press Release”). A copy of the Press Release is furnished as Exhibit 99.1 to this Current Report on Form 8-K. The information in this report and Exhibit 99.1 hereto shall not be deemed “filed” for purposes of Section 18 of the Securities Exchange Act of 1934, as amended, or otherwise subject to the liabilities of that Section, and shall not be incorporated by reference into any registration statement pursuant to the Securities Act of 1933, as amended, except as shall be expressly set forth by specific reference in such filing.</w:t>
      </w:r>
    </w:p>
    <w:p>
      <w:pPr>
        <w:spacing w:after="0" w:line="35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9.01</w:t>
        <w:tab/>
        <w:t>Financial Statement and Exhibits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 Exhibit.</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2060" w:val="left"/>
        </w:tabs>
        <w:rPr>
          <w:sz w:val="20"/>
          <w:szCs w:val="20"/>
          <w:color w:val="auto"/>
        </w:rPr>
      </w:pPr>
      <w:r>
        <w:rPr>
          <w:rFonts w:ascii="Times New Roman" w:cs="Times New Roman" w:eastAsia="Times New Roman" w:hAnsi="Times New Roman"/>
          <w:sz w:val="14"/>
          <w:szCs w:val="14"/>
          <w:b w:val="1"/>
          <w:bCs w:val="1"/>
          <w:color w:val="auto"/>
        </w:rPr>
        <w:t>Exhibit 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620522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05220" cy="6985"/>
                    </a:xfrm>
                    <a:prstGeom prst="rect">
                      <a:avLst/>
                    </a:prstGeom>
                    <a:noFill/>
                  </pic:spPr>
                </pic:pic>
              </a:graphicData>
            </a:graphic>
          </wp:anchor>
        </w:drawing>
      </w:r>
    </w:p>
    <w:p>
      <w:pPr>
        <w:spacing w:after="0" w:line="192" w:lineRule="exact"/>
        <w:rPr>
          <w:sz w:val="20"/>
          <w:szCs w:val="20"/>
          <w:color w:val="auto"/>
        </w:rPr>
      </w:pPr>
    </w:p>
    <w:p>
      <w:pPr>
        <w:ind w:left="1520"/>
        <w:spacing w:after="0"/>
        <w:tabs>
          <w:tab w:leader="none" w:pos="2060" w:val="left"/>
        </w:tabs>
        <w:rPr>
          <w:sz w:val="20"/>
          <w:szCs w:val="20"/>
          <w:color w:val="auto"/>
        </w:rPr>
      </w:pPr>
      <w:r>
        <w:rPr>
          <w:rFonts w:ascii="Times New Roman" w:cs="Times New Roman" w:eastAsia="Times New Roman" w:hAnsi="Times New Roman"/>
          <w:sz w:val="14"/>
          <w:szCs w:val="14"/>
          <w:u w:val="single" w:color="auto"/>
          <w:color w:val="0000FF"/>
        </w:rPr>
        <w:t>99.1</w:t>
      </w:r>
      <w:r>
        <w:rPr>
          <w:sz w:val="20"/>
          <w:szCs w:val="20"/>
          <w:color w:val="auto"/>
        </w:rPr>
        <w:tab/>
      </w:r>
      <w:r>
        <w:rPr>
          <w:rFonts w:ascii="Times New Roman" w:cs="Times New Roman" w:eastAsia="Times New Roman" w:hAnsi="Times New Roman"/>
          <w:sz w:val="14"/>
          <w:szCs w:val="14"/>
          <w:u w:val="single" w:color="auto"/>
          <w:color w:val="0000FF"/>
        </w:rPr>
        <w:t>NewtekOne, Inc. Press Release dated June 12, 2026</w:t>
      </w:r>
    </w:p>
    <w:p>
      <w:pPr>
        <w:spacing w:after="0" w:line="41" w:lineRule="exact"/>
        <w:rPr>
          <w:sz w:val="20"/>
          <w:szCs w:val="20"/>
          <w:color w:val="auto"/>
        </w:rPr>
      </w:pPr>
    </w:p>
    <w:p>
      <w:pPr>
        <w:ind w:left="1560"/>
        <w:spacing w:after="0"/>
        <w:tabs>
          <w:tab w:leader="none" w:pos="2060" w:val="left"/>
        </w:tabs>
        <w:rPr>
          <w:sz w:val="20"/>
          <w:szCs w:val="20"/>
          <w:color w:val="auto"/>
        </w:rPr>
      </w:pPr>
      <w:r>
        <w:rPr>
          <w:rFonts w:ascii="Times New Roman" w:cs="Times New Roman" w:eastAsia="Times New Roman" w:hAnsi="Times New Roman"/>
          <w:sz w:val="14"/>
          <w:szCs w:val="14"/>
          <w:color w:val="auto"/>
        </w:rPr>
        <w:t>104</w:t>
      </w:r>
      <w:r>
        <w:rPr>
          <w:sz w:val="20"/>
          <w:szCs w:val="20"/>
          <w:color w:val="auto"/>
        </w:rPr>
        <w:tab/>
      </w:r>
      <w:r>
        <w:rPr>
          <w:rFonts w:ascii="Times New Roman" w:cs="Times New Roman" w:eastAsia="Times New Roman" w:hAnsi="Times New Roman"/>
          <w:sz w:val="14"/>
          <w:szCs w:val="14"/>
          <w:color w:val="auto"/>
        </w:rPr>
        <w:t>Cover Page Interactive Data 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796925</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08" w:right="339" w:bottom="1440" w:gutter="0" w:footer="0" w:header="0"/>
        </w:sectPr>
      </w:pPr>
    </w:p>
    <w:bookmarkStart w:id="3" w:name="page4"/>
    <w:bookmarkEnd w:id="3"/>
    <w:p>
      <w:pPr>
        <w:ind w:left="518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accordance with the requirements of the Securities Exchange Act of 1934, the registrant has caused this report to be signed on its behalf by the undersigned, thereunto duly authorized.</w:t>
      </w:r>
    </w:p>
    <w:p>
      <w:pPr>
        <w:spacing w:after="0" w:line="23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b w:val="1"/>
          <w:bCs w:val="1"/>
          <w:color w:val="auto"/>
        </w:rPr>
        <w:t>NEWTEKONE, INC.</w:t>
      </w:r>
    </w:p>
    <w:p>
      <w:pPr>
        <w:spacing w:after="0" w:line="64" w:lineRule="exact"/>
        <w:rPr>
          <w:sz w:val="20"/>
          <w:szCs w:val="20"/>
          <w:color w:val="auto"/>
        </w:rPr>
      </w:pPr>
    </w:p>
    <w:p>
      <w:pPr>
        <w:ind w:left="60"/>
        <w:spacing w:after="0"/>
        <w:tabs>
          <w:tab w:leader="none" w:pos="5480" w:val="left"/>
          <w:tab w:leader="none" w:pos="7800" w:val="left"/>
          <w:tab w:leader="none" w:pos="8100" w:val="left"/>
        </w:tabs>
        <w:rPr>
          <w:sz w:val="20"/>
          <w:szCs w:val="20"/>
          <w:color w:val="auto"/>
        </w:rPr>
      </w:pPr>
      <w:r>
        <w:rPr>
          <w:rFonts w:ascii="Times New Roman" w:cs="Times New Roman" w:eastAsia="Times New Roman" w:hAnsi="Times New Roman"/>
          <w:sz w:val="14"/>
          <w:szCs w:val="14"/>
          <w:color w:val="auto"/>
        </w:rPr>
        <w:t>Date: June 12,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w:t>
        <w:tab/>
        <w:t>B</w:t>
      </w:r>
      <w:r>
        <w:rPr>
          <w:rFonts w:ascii="Times New Roman" w:cs="Times New Roman" w:eastAsia="Times New Roman" w:hAnsi="Times New Roman"/>
          <w:sz w:val="12"/>
          <w:szCs w:val="12"/>
          <w:color w:val="auto"/>
        </w:rPr>
        <w:t>ARRY</w:t>
      </w:r>
      <w:r>
        <w:rPr>
          <w:rFonts w:ascii="Times New Roman" w:cs="Times New Roman" w:eastAsia="Times New Roman" w:hAnsi="Times New Roman"/>
          <w:sz w:val="14"/>
          <w:szCs w:val="14"/>
          <w:color w:val="auto"/>
        </w:rPr>
        <w:t xml:space="preserve"> S</w:t>
      </w:r>
      <w:r>
        <w:rPr>
          <w:rFonts w:ascii="Times New Roman" w:cs="Times New Roman" w:eastAsia="Times New Roman" w:hAnsi="Times New Roman"/>
          <w:sz w:val="12"/>
          <w:szCs w:val="12"/>
          <w:color w:val="auto"/>
        </w:rPr>
        <w:t>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14605</wp:posOffset>
            </wp:positionV>
            <wp:extent cx="336169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1690" cy="6985"/>
                    </a:xfrm>
                    <a:prstGeom prst="rect">
                      <a:avLst/>
                    </a:prstGeom>
                    <a:noFill/>
                  </pic:spPr>
                </pic:pic>
              </a:graphicData>
            </a:graphic>
          </wp:anchor>
        </w:drawing>
      </w:r>
    </w:p>
    <w:p>
      <w:pPr>
        <w:spacing w:after="0" w:line="5"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1"/>
          <w:szCs w:val="11"/>
          <w:b w:val="1"/>
          <w:bCs w:val="1"/>
          <w:color w:val="auto"/>
        </w:rPr>
        <w:t>Barry Sloane</w:t>
      </w:r>
    </w:p>
    <w:p>
      <w:pPr>
        <w:spacing w:after="0" w:line="33"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1"/>
          <w:szCs w:val="11"/>
          <w:b w:val="1"/>
          <w:bCs w:val="1"/>
          <w:color w:val="auto"/>
        </w:rPr>
        <w:t>Chief Executive Officer, President and Chairman of the Board</w:t>
      </w:r>
    </w:p>
    <w:p>
      <w:pPr>
        <w:sectPr>
          <w:pgSz w:w="11900" w:h="16838" w:orient="portrait"/>
          <w:cols w:equalWidth="0" w:num="1">
            <w:col w:w="10520"/>
          </w:cols>
          <w:pgMar w:left="300" w:top="717" w:right="1079" w:bottom="1440" w:gutter="0" w:footer="0" w:header="0"/>
        </w:sectPr>
      </w:pPr>
    </w:p>
    <w:bookmarkStart w:id="4" w:name="page5"/>
    <w:bookmarkEnd w:id="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2026-06-12T08:03:29Z</dcterms:created>
  <dcterms:modified xsi:type="dcterms:W3CDTF">2026-06-12T08:03:29Z</dcterms:modified>
</cp:coreProperties>
</file>